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22222"/>
          <w:spacing w:val="8"/>
          <w:sz w:val="48"/>
          <w:szCs w:val="48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22222"/>
          <w:spacing w:val="8"/>
          <w:sz w:val="48"/>
          <w:szCs w:val="48"/>
          <w:shd w:val="clear" w:fill="FFFFFF"/>
        </w:rPr>
        <w:t>2021年度高新技术企业发展情况报表（年报）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b/>
          <w:sz w:val="36"/>
          <w:szCs w:val="36"/>
          <w:highlight w:val="yellow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22222"/>
          <w:spacing w:val="8"/>
          <w:sz w:val="48"/>
          <w:szCs w:val="48"/>
          <w:shd w:val="clear" w:fill="FFFFFF"/>
        </w:rPr>
        <w:t>填报指南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91" w:firstLineChars="900"/>
        <w:jc w:val="left"/>
        <w:rPr>
          <w:rStyle w:val="5"/>
          <w:rFonts w:hint="eastAsia" w:ascii="黑体" w:hAnsi="黑体" w:eastAsia="黑体" w:cs="黑体"/>
          <w:kern w:val="0"/>
          <w:sz w:val="32"/>
          <w:szCs w:val="32"/>
          <w:highlight w:val="cyan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kern w:val="0"/>
          <w:sz w:val="32"/>
          <w:szCs w:val="32"/>
          <w:highlight w:val="cyan"/>
          <w:lang w:val="en-US" w:eastAsia="zh-CN" w:bidi="ar"/>
        </w:rPr>
        <w:t>一、政策调查依据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ascii="微软雅黑" w:hAnsi="微软雅黑" w:eastAsia="微软雅黑" w:cs="微软雅黑"/>
          <w:sz w:val="24"/>
          <w:szCs w:val="24"/>
        </w:rPr>
        <w:t>1、科技部、财政部、国家税务总局关于修订印发《高新技术企业认定管理办法》（国科发火【2016】32号）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eastAsia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2、科技部、财政部、国家税务总局关于修订印发《高新技术企业认定管理工作指引》（国科发火【2016】195号）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91" w:firstLineChars="900"/>
        <w:jc w:val="left"/>
        <w:rPr>
          <w:rStyle w:val="5"/>
          <w:rFonts w:hint="eastAsia" w:ascii="黑体" w:hAnsi="黑体" w:eastAsia="黑体" w:cs="黑体"/>
          <w:kern w:val="0"/>
          <w:sz w:val="32"/>
          <w:szCs w:val="32"/>
          <w:highlight w:val="cyan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kern w:val="0"/>
          <w:sz w:val="32"/>
          <w:szCs w:val="32"/>
          <w:highlight w:val="cyan"/>
          <w:lang w:val="en-US" w:eastAsia="zh-CN" w:bidi="ar"/>
        </w:rPr>
        <w:t>二、填报企业范围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经全国高新技术企业认定管理工作领导小组备案，获得高新技术企业证书且证书尚在有效期内的高新技术企业。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213" w:firstLineChars="1000"/>
        <w:jc w:val="left"/>
        <w:rPr>
          <w:rStyle w:val="5"/>
          <w:rFonts w:hint="eastAsia" w:ascii="黑体" w:hAnsi="黑体" w:eastAsia="黑体" w:cs="黑体"/>
          <w:kern w:val="0"/>
          <w:sz w:val="32"/>
          <w:szCs w:val="32"/>
          <w:highlight w:val="cyan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kern w:val="0"/>
          <w:sz w:val="32"/>
          <w:szCs w:val="32"/>
          <w:highlight w:val="cyan"/>
          <w:lang w:val="en-US" w:eastAsia="zh-CN" w:bidi="ar"/>
        </w:rPr>
        <w:t>三、填报时间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企业填报截止时间： 2022年5月31日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213" w:firstLineChars="1000"/>
        <w:jc w:val="left"/>
        <w:rPr>
          <w:rStyle w:val="5"/>
          <w:rFonts w:hint="eastAsia" w:ascii="黑体" w:hAnsi="黑体" w:eastAsia="黑体" w:cs="黑体"/>
          <w:kern w:val="0"/>
          <w:sz w:val="32"/>
          <w:szCs w:val="32"/>
          <w:highlight w:val="cyan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kern w:val="0"/>
          <w:sz w:val="32"/>
          <w:szCs w:val="32"/>
          <w:highlight w:val="cyan"/>
          <w:lang w:val="en-US" w:eastAsia="zh-CN" w:bidi="ar"/>
        </w:rPr>
        <w:t>四、填报方式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1、科技部政务服务平台</w:t>
      </w:r>
      <w:r>
        <w:rPr>
          <w:rFonts w:hint="eastAsia" w:ascii="微软雅黑" w:hAnsi="微软雅黑" w:eastAsia="微软雅黑" w:cs="微软雅黑"/>
          <w:sz w:val="21"/>
          <w:szCs w:val="21"/>
        </w:rPr>
        <w:t>（https://fuwu.most.gov.cn）</w:t>
      </w:r>
      <w:r>
        <w:rPr>
          <w:rFonts w:hint="eastAsia" w:ascii="微软雅黑" w:hAnsi="微软雅黑" w:eastAsia="微软雅黑" w:cs="微软雅黑"/>
          <w:sz w:val="24"/>
          <w:szCs w:val="24"/>
        </w:rPr>
        <w:t>-用户登录-法人登录-火炬中心业务办理平台-科技部火炬统计调查-高企发展情况-数据管理-填报。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登录账号密码与企业进行高新技术企业申报时使用的账号密码一致。首次登陆，需进行实名认证，认证通过后方可选择项目进行申报。如无法登录，企业可于登录界面点击密码找回或账号申诉，按照系统要求填写相关信息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213" w:firstLineChars="1000"/>
        <w:jc w:val="left"/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kern w:val="0"/>
          <w:sz w:val="32"/>
          <w:szCs w:val="32"/>
          <w:highlight w:val="cyan"/>
          <w:lang w:val="en-US" w:eastAsia="zh-CN" w:bidi="ar"/>
        </w:rPr>
        <w:t>五、填报流程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步骤一：系统登录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5568950" cy="3038475"/>
            <wp:effectExtent l="0" t="0" r="12700" b="9525"/>
            <wp:docPr id="20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选择法人登录，登录名和密码为高新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62000" cy="762000"/>
            <wp:effectExtent l="0" t="0" r="0" b="0"/>
            <wp:docPr id="22" name="图片 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技术企业认定时注册的账号码。</w:t>
      </w: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步骤二：实名认证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drawing>
          <wp:inline distT="0" distB="0" distL="114300" distR="114300">
            <wp:extent cx="5555615" cy="3090545"/>
            <wp:effectExtent l="0" t="0" r="6985" b="14605"/>
            <wp:docPr id="21" name="图片 10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 descr="IMG_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FEFEFE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业首次登录需要进行实名认证，认证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62000" cy="762000"/>
            <wp:effectExtent l="0" t="0" r="0" b="0"/>
            <wp:docPr id="2" name="图片 11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通过后方能在平台办理相关业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步骤三：进入业务办理平台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FEFEFE"/>
          <w:sz w:val="24"/>
          <w:szCs w:val="24"/>
        </w:rPr>
      </w:pPr>
      <w:r>
        <w:drawing>
          <wp:inline distT="0" distB="0" distL="114300" distR="114300">
            <wp:extent cx="5703570" cy="4109085"/>
            <wp:effectExtent l="0" t="0" r="11430" b="5715"/>
            <wp:docPr id="7" name="图片 12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IMG_2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4109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在“服务入办理，如果右侧清空白，可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62000" cy="762000"/>
            <wp:effectExtent l="0" t="0" r="0" b="0"/>
            <wp:docPr id="6" name="图片 13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 descr="IMG_2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以尝试在右上角红框处搜索更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步骤四：进入火炬统计调查系统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drawing>
          <wp:inline distT="0" distB="0" distL="114300" distR="114300">
            <wp:extent cx="5499735" cy="2198370"/>
            <wp:effectExtent l="0" t="0" r="5715" b="11430"/>
            <wp:docPr id="5" name="图片 14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IMG_2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点击“科技部火炬统计调查”右侧“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62000" cy="762000"/>
            <wp:effectExtent l="0" t="0" r="0" b="0"/>
            <wp:docPr id="12" name="图片 15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 descr="IMG_2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我要办理”。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微软雅黑" w:hAnsi="微软雅黑" w:eastAsia="微软雅黑" w:cs="微软雅黑"/>
          <w:color w:val="FEFEFE"/>
          <w:sz w:val="24"/>
          <w:szCs w:val="24"/>
        </w:rPr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步骤五：企业主页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drawing>
          <wp:inline distT="0" distB="0" distL="114300" distR="114300">
            <wp:extent cx="5556885" cy="2273935"/>
            <wp:effectExtent l="0" t="0" r="5715" b="12065"/>
            <wp:docPr id="11" name="图片 16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IMG_2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如“2021年高企发展情况”栏目中显示“未报送”红字，点击”右侧“填报”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按钮。</w:t>
      </w:r>
      <w:r>
        <w:rPr>
          <w:rFonts w:hint="eastAsia" w:ascii="微软雅黑" w:hAnsi="微软雅黑" w:eastAsia="微软雅黑" w:cs="微软雅黑"/>
          <w:color w:val="FEFEFE"/>
          <w:sz w:val="24"/>
          <w:szCs w:val="24"/>
          <w:lang w:val="en-US" w:eastAsia="zh-CN"/>
        </w:rPr>
        <w:t xml:space="preserve">             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62000" cy="762000"/>
            <wp:effectExtent l="0" t="0" r="0" b="0"/>
            <wp:docPr id="10" name="图片 17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 descr="IMG_2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步骤六：数据管理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5487035" cy="1240155"/>
            <wp:effectExtent l="0" t="0" r="18415" b="17145"/>
            <wp:docPr id="9" name="图片 18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8" descr="IMG_27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点击右侧“填报”开始数据填写。</w:t>
      </w:r>
    </w:p>
    <w:p>
      <w:pPr>
        <w:keepNext w:val="0"/>
        <w:keepLines w:val="0"/>
        <w:widowControl/>
        <w:suppressLineNumbers w:val="0"/>
        <w:spacing w:after="240" w:afterAutospacing="0"/>
        <w:ind w:firstLine="3600" w:firstLineChars="15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62000" cy="762000"/>
            <wp:effectExtent l="0" t="0" r="0" b="0"/>
            <wp:docPr id="8" name="图片 19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 descr="IMG_2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after="240" w:afterAutospacing="0"/>
        <w:ind w:firstLine="3600" w:firstLineChars="15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步骤七：数据填报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drawing>
          <wp:inline distT="0" distB="0" distL="114300" distR="114300">
            <wp:extent cx="5608955" cy="2367915"/>
            <wp:effectExtent l="0" t="0" r="10795" b="13335"/>
            <wp:docPr id="3" name="图片 20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0" descr="IMG_27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依次填写第1步至4步，全部和原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62000" cy="762000"/>
            <wp:effectExtent l="0" t="0" r="0" b="0"/>
            <wp:docPr id="13" name="图片 21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 descr="IMG_2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因”进行自查，确定没有再需提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步骤八：数据修改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drawing>
          <wp:inline distT="0" distB="0" distL="114300" distR="114300">
            <wp:extent cx="5622925" cy="3903980"/>
            <wp:effectExtent l="0" t="0" r="15875" b="1270"/>
            <wp:docPr id="4" name="图片 22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 descr="IMG_27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FEFEFE"/>
          <w:sz w:val="24"/>
          <w:szCs w:val="24"/>
        </w:rPr>
      </w:pPr>
      <w:bookmarkStart w:id="0" w:name="_GoBack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213" w:firstLineChars="1000"/>
      </w:pPr>
      <w:r>
        <w:rPr>
          <w:rStyle w:val="5"/>
          <w:rFonts w:hint="eastAsia" w:ascii="黑体" w:hAnsi="黑体" w:eastAsia="黑体" w:cs="黑体"/>
          <w:kern w:val="0"/>
          <w:sz w:val="32"/>
          <w:szCs w:val="32"/>
          <w:highlight w:val="cyan"/>
          <w:lang w:val="en-US" w:eastAsia="zh-CN" w:bidi="ar"/>
        </w:rPr>
        <w:t>六、注意事项</w:t>
      </w:r>
      <w:r>
        <w:rPr>
          <w:rFonts w:hint="eastAsia" w:ascii="微软雅黑" w:hAnsi="微软雅黑" w:eastAsia="微软雅黑" w:cs="微软雅黑"/>
          <w:color w:val="FEFEFE"/>
          <w:sz w:val="24"/>
          <w:szCs w:val="24"/>
        </w:rPr>
        <w:t>写数据不和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系统中财务相关数据单位为“万元”。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总收入指收入总额减去不征税收入。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销售收入为主营业务收入与其他业务收入之和，按照企业所得税年度纳税申报表口径计算。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高新技术产品（服务）收入是产品（服务）收入与技术性收入的总和。总收入≥销售收入≥高新技术产品（服务）收入。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境内研究开发费用数据不可为“0”。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科技人员数指公司2021年工作满183天的科技人员（包括专职、兼职及临时聘用人员），且占职工总数的比例应达到10%以上。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高新年报数据应保证真实、准确，并尽量与工商年报、企业所得税纳税申报、火炬统计年报填报的数据保持统一。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eastAsia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default" w:eastAsia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黑体" w:hAnsi="黑体" w:eastAsia="黑体" w:cs="黑体"/>
          <w:kern w:val="0"/>
          <w:sz w:val="52"/>
          <w:szCs w:val="52"/>
          <w:highlight w:val="cyan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kern w:val="0"/>
          <w:sz w:val="52"/>
          <w:szCs w:val="52"/>
          <w:highlight w:val="cyan"/>
          <w:lang w:val="en-US" w:eastAsia="zh-CN" w:bidi="ar"/>
        </w:rPr>
        <w:t>特别提醒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在同一高新技术企业资格有效期内，企业累计两年未按规定时限报送年度发展情况报表的，由认定机构取消其高新技术企业资格。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default" w:eastAsia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default" w:eastAsia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5"/>
          <w:rFonts w:hint="eastAsia" w:ascii="黑体" w:hAnsi="黑体" w:eastAsia="黑体" w:cs="黑体"/>
          <w:kern w:val="0"/>
          <w:sz w:val="52"/>
          <w:szCs w:val="52"/>
          <w:highlight w:val="cyan"/>
          <w:lang w:val="en-US" w:eastAsia="zh-CN" w:bidi="ar"/>
        </w:rPr>
      </w:pPr>
      <w:r>
        <w:rPr>
          <w:rFonts w:hint="eastAsia" w:eastAsia="微软雅黑"/>
          <w:sz w:val="44"/>
          <w:szCs w:val="44"/>
          <w:lang w:val="en-US" w:eastAsia="zh-CN"/>
        </w:rPr>
        <w:t xml:space="preserve">              </w:t>
      </w:r>
      <w:r>
        <w:rPr>
          <w:rStyle w:val="5"/>
          <w:rFonts w:hint="eastAsia" w:ascii="黑体" w:hAnsi="黑体" w:eastAsia="黑体" w:cs="黑体"/>
          <w:kern w:val="0"/>
          <w:sz w:val="52"/>
          <w:szCs w:val="52"/>
          <w:highlight w:val="cyan"/>
          <w:lang w:val="en-US" w:eastAsia="zh-CN" w:bidi="ar"/>
        </w:rPr>
        <w:t>咨询电话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昌平区科学技术委员会：80113635/80112866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819AF"/>
    <w:rsid w:val="126B6BF4"/>
    <w:rsid w:val="1D892668"/>
    <w:rsid w:val="2DAA0EA1"/>
    <w:rsid w:val="316A63E9"/>
    <w:rsid w:val="358B74AB"/>
    <w:rsid w:val="37796871"/>
    <w:rsid w:val="430B5660"/>
    <w:rsid w:val="4537679D"/>
    <w:rsid w:val="48727BC7"/>
    <w:rsid w:val="4926728C"/>
    <w:rsid w:val="4D5F3B5F"/>
    <w:rsid w:val="4EC30082"/>
    <w:rsid w:val="4F405714"/>
    <w:rsid w:val="50F0492E"/>
    <w:rsid w:val="5FE11671"/>
    <w:rsid w:val="608D09A3"/>
    <w:rsid w:val="6E5C49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2022-04-07T06:46:00Z</dcterms:created>
  <dc:creator>123</dc:creator>
  <cp:lastModifiedBy>Admin</cp:lastModifiedBy>
  <dcterms:modified xsi:type="dcterms:W3CDTF">2022-04-13T03:39:14Z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5351C0A2DA0543BA86EFA1FB9239988A</vt:lpwstr>
  </property>
</Properties>
</file>